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7A63" w14:textId="6C4F69DE" w:rsidR="001C2088" w:rsidRPr="003B26EE" w:rsidRDefault="00FA6DD5">
      <w:pPr>
        <w:spacing w:after="125" w:line="259" w:lineRule="auto"/>
        <w:ind w:left="58" w:firstLine="0"/>
        <w:jc w:val="center"/>
        <w:rPr>
          <w:rFonts w:asciiTheme="minorHAnsi" w:hAnsiTheme="minorHAnsi" w:cstheme="minorHAnsi"/>
          <w:sz w:val="48"/>
          <w:szCs w:val="48"/>
        </w:rPr>
      </w:pPr>
      <w:r w:rsidRPr="003B26EE">
        <w:rPr>
          <w:rFonts w:asciiTheme="minorHAnsi" w:hAnsiTheme="minorHAnsi" w:cstheme="minorHAnsi"/>
          <w:sz w:val="48"/>
          <w:szCs w:val="48"/>
        </w:rPr>
        <w:t>St. Luke's Church</w:t>
      </w:r>
      <w:r w:rsidR="00092AB0" w:rsidRPr="003B26EE">
        <w:rPr>
          <w:rFonts w:asciiTheme="minorHAnsi" w:hAnsiTheme="minorHAnsi" w:cstheme="minorHAnsi"/>
          <w:sz w:val="48"/>
          <w:szCs w:val="48"/>
        </w:rPr>
        <w:t>, Maidenhead</w:t>
      </w:r>
    </w:p>
    <w:p w14:paraId="7267E16F" w14:textId="77777777" w:rsidR="001C2088" w:rsidRPr="003B26EE" w:rsidRDefault="00FA6DD5">
      <w:pPr>
        <w:spacing w:after="192"/>
        <w:ind w:left="7" w:firstLine="0"/>
        <w:jc w:val="left"/>
        <w:rPr>
          <w:rFonts w:asciiTheme="minorHAnsi" w:hAnsiTheme="minorHAnsi" w:cstheme="minorHAnsi"/>
          <w:sz w:val="24"/>
          <w:szCs w:val="24"/>
        </w:rPr>
      </w:pPr>
      <w:r w:rsidRPr="003B26EE">
        <w:rPr>
          <w:rFonts w:asciiTheme="minorHAnsi" w:hAnsiTheme="minorHAnsi" w:cstheme="minorHAnsi"/>
          <w:sz w:val="24"/>
          <w:szCs w:val="24"/>
        </w:rPr>
        <w:t>Parish policy on recruitment and DBS criminal records checks</w:t>
      </w:r>
    </w:p>
    <w:p w14:paraId="3AB26864" w14:textId="77777777" w:rsidR="001C2088" w:rsidRPr="003B26EE" w:rsidRDefault="00FA6DD5">
      <w:pPr>
        <w:numPr>
          <w:ilvl w:val="0"/>
          <w:numId w:val="1"/>
        </w:numPr>
        <w:ind w:right="11" w:hanging="360"/>
        <w:rPr>
          <w:rFonts w:asciiTheme="minorHAnsi" w:hAnsiTheme="minorHAnsi" w:cstheme="minorHAnsi"/>
          <w:sz w:val="24"/>
          <w:szCs w:val="24"/>
        </w:rPr>
      </w:pPr>
      <w:r w:rsidRPr="003B26EE">
        <w:rPr>
          <w:rFonts w:asciiTheme="minorHAnsi" w:hAnsiTheme="minorHAnsi" w:cstheme="minorHAnsi"/>
          <w:sz w:val="24"/>
          <w:szCs w:val="24"/>
        </w:rPr>
        <w:t xml:space="preserve">This Parish is committed to the recognition of each person's skills, experience and qualifications. We shall attempt to ensure that these </w:t>
      </w:r>
      <w:r w:rsidRPr="003B26EE">
        <w:rPr>
          <w:rFonts w:asciiTheme="minorHAnsi" w:hAnsiTheme="minorHAnsi" w:cstheme="minorHAnsi"/>
          <w:noProof/>
          <w:sz w:val="24"/>
          <w:szCs w:val="24"/>
        </w:rPr>
        <w:drawing>
          <wp:inline distT="0" distB="0" distL="0" distR="0" wp14:anchorId="14EC041C" wp14:editId="3D666B8E">
            <wp:extent cx="4573" cy="4574"/>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6"/>
                    <a:stretch>
                      <a:fillRect/>
                    </a:stretch>
                  </pic:blipFill>
                  <pic:spPr>
                    <a:xfrm>
                      <a:off x="0" y="0"/>
                      <a:ext cx="4573" cy="4574"/>
                    </a:xfrm>
                    <a:prstGeom prst="rect">
                      <a:avLst/>
                    </a:prstGeom>
                  </pic:spPr>
                </pic:pic>
              </a:graphicData>
            </a:graphic>
          </wp:inline>
        </w:drawing>
      </w:r>
      <w:r w:rsidRPr="003B26EE">
        <w:rPr>
          <w:rFonts w:asciiTheme="minorHAnsi" w:hAnsiTheme="minorHAnsi" w:cstheme="minorHAnsi"/>
          <w:sz w:val="24"/>
          <w:szCs w:val="24"/>
        </w:rPr>
        <w:t xml:space="preserve">are fully considered in the recruitment and appointment of paid staff and volunteers. </w:t>
      </w:r>
      <w:r w:rsidRPr="003B26EE">
        <w:rPr>
          <w:rFonts w:asciiTheme="minorHAnsi" w:hAnsiTheme="minorHAnsi" w:cstheme="minorHAnsi"/>
          <w:i/>
          <w:iCs/>
          <w:sz w:val="24"/>
          <w:szCs w:val="24"/>
        </w:rPr>
        <w:t>In addition, we are committed to ensure safer recruitment for all paid and volunteer staff.</w:t>
      </w:r>
    </w:p>
    <w:p w14:paraId="695B891C" w14:textId="77777777" w:rsidR="001C2088" w:rsidRPr="003B26EE" w:rsidRDefault="00FA6DD5">
      <w:pPr>
        <w:numPr>
          <w:ilvl w:val="0"/>
          <w:numId w:val="1"/>
        </w:numPr>
        <w:ind w:right="11" w:hanging="360"/>
        <w:rPr>
          <w:rFonts w:asciiTheme="minorHAnsi" w:hAnsiTheme="minorHAnsi" w:cstheme="minorHAnsi"/>
          <w:sz w:val="24"/>
          <w:szCs w:val="24"/>
        </w:rPr>
      </w:pPr>
      <w:r w:rsidRPr="003B26EE">
        <w:rPr>
          <w:rFonts w:asciiTheme="minorHAnsi" w:hAnsiTheme="minorHAnsi" w:cstheme="minorHAnsi"/>
          <w:sz w:val="24"/>
          <w:szCs w:val="24"/>
        </w:rPr>
        <w:t>We shall assess all positions (whether for paid staff or volunteers) in order to determine whether a check is required from the Disclosure and Barring Service and, if so, at what level. For those positions requiring a Disclosure, we shall indicate in any advertisement (or other information about the position) the level of check and make clear that any offer of position will be subject to the receipt of satisfactory information from the DBS.</w:t>
      </w:r>
    </w:p>
    <w:p w14:paraId="77A7EDA1" w14:textId="77777777" w:rsidR="001C2088" w:rsidRPr="003B26EE" w:rsidRDefault="00FA6DD5">
      <w:pPr>
        <w:numPr>
          <w:ilvl w:val="0"/>
          <w:numId w:val="1"/>
        </w:numPr>
        <w:ind w:right="11" w:hanging="360"/>
        <w:rPr>
          <w:rFonts w:asciiTheme="minorHAnsi" w:hAnsiTheme="minorHAnsi" w:cstheme="minorHAnsi"/>
          <w:sz w:val="24"/>
          <w:szCs w:val="24"/>
        </w:rPr>
      </w:pPr>
      <w:r w:rsidRPr="003B26EE">
        <w:rPr>
          <w:rFonts w:asciiTheme="minorHAnsi" w:hAnsiTheme="minorHAnsi" w:cstheme="minorHAnsi"/>
          <w:sz w:val="24"/>
          <w:szCs w:val="24"/>
        </w:rPr>
        <w:t>Where a position involves a DBS check, we shall encourage all applicants invited to an interview to provide details of any criminal record before the interview.</w:t>
      </w:r>
    </w:p>
    <w:p w14:paraId="0054405D" w14:textId="206BB9D0" w:rsidR="001C2088" w:rsidRPr="003B26EE" w:rsidRDefault="00FA6DD5">
      <w:pPr>
        <w:numPr>
          <w:ilvl w:val="0"/>
          <w:numId w:val="1"/>
        </w:numPr>
        <w:spacing w:after="421"/>
        <w:ind w:right="11" w:hanging="360"/>
        <w:rPr>
          <w:rFonts w:asciiTheme="minorHAnsi" w:hAnsiTheme="minorHAnsi" w:cstheme="minorHAnsi"/>
          <w:sz w:val="24"/>
          <w:szCs w:val="24"/>
        </w:rPr>
      </w:pPr>
      <w:r w:rsidRPr="003B26EE">
        <w:rPr>
          <w:rFonts w:asciiTheme="minorHAnsi" w:hAnsiTheme="minorHAnsi" w:cstheme="minorHAnsi"/>
          <w:sz w:val="24"/>
          <w:szCs w:val="24"/>
        </w:rPr>
        <w:t>We shall obtain DBS checks for volunteers through an appropriate registered body and shall advise the Diocese which registered body we use.</w:t>
      </w:r>
    </w:p>
    <w:p w14:paraId="3B35E177" w14:textId="77777777" w:rsidR="001C2088" w:rsidRPr="003B26EE" w:rsidRDefault="00FA6DD5">
      <w:pPr>
        <w:numPr>
          <w:ilvl w:val="0"/>
          <w:numId w:val="1"/>
        </w:numPr>
        <w:ind w:right="11" w:hanging="360"/>
        <w:rPr>
          <w:rFonts w:asciiTheme="minorHAnsi" w:hAnsiTheme="minorHAnsi" w:cstheme="minorHAnsi"/>
          <w:sz w:val="24"/>
          <w:szCs w:val="24"/>
        </w:rPr>
      </w:pPr>
      <w:r w:rsidRPr="003B26EE">
        <w:rPr>
          <w:rFonts w:asciiTheme="minorHAnsi" w:hAnsiTheme="minorHAnsi" w:cstheme="minorHAnsi"/>
          <w:sz w:val="24"/>
          <w:szCs w:val="24"/>
        </w:rPr>
        <w:t xml:space="preserve">If the Diocese advises that a DBS check contains information relevant to the position, we shall work with Diocesan staff to assess the risks </w:t>
      </w:r>
      <w:r w:rsidRPr="003B26EE">
        <w:rPr>
          <w:rFonts w:asciiTheme="minorHAnsi" w:hAnsiTheme="minorHAnsi" w:cstheme="minorHAnsi"/>
          <w:noProof/>
          <w:sz w:val="24"/>
          <w:szCs w:val="24"/>
        </w:rPr>
        <w:drawing>
          <wp:inline distT="0" distB="0" distL="0" distR="0" wp14:anchorId="3F478C4E" wp14:editId="36DE5A69">
            <wp:extent cx="4573" cy="4574"/>
            <wp:effectExtent l="0" t="0" r="0" b="0"/>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7"/>
                    <a:stretch>
                      <a:fillRect/>
                    </a:stretch>
                  </pic:blipFill>
                  <pic:spPr>
                    <a:xfrm>
                      <a:off x="0" y="0"/>
                      <a:ext cx="4573" cy="4574"/>
                    </a:xfrm>
                    <a:prstGeom prst="rect">
                      <a:avLst/>
                    </a:prstGeom>
                  </pic:spPr>
                </pic:pic>
              </a:graphicData>
            </a:graphic>
          </wp:inline>
        </w:drawing>
      </w:r>
      <w:r w:rsidRPr="003B26EE">
        <w:rPr>
          <w:rFonts w:asciiTheme="minorHAnsi" w:hAnsiTheme="minorHAnsi" w:cstheme="minorHAnsi"/>
          <w:sz w:val="24"/>
          <w:szCs w:val="24"/>
        </w:rPr>
        <w:t>and agree a course of action.</w:t>
      </w:r>
    </w:p>
    <w:p w14:paraId="1D17561F" w14:textId="77777777" w:rsidR="001C2088" w:rsidRPr="003B26EE" w:rsidRDefault="00FA6DD5">
      <w:pPr>
        <w:numPr>
          <w:ilvl w:val="0"/>
          <w:numId w:val="1"/>
        </w:numPr>
        <w:spacing w:after="355"/>
        <w:ind w:right="11" w:hanging="360"/>
        <w:rPr>
          <w:rFonts w:asciiTheme="minorHAnsi" w:hAnsiTheme="minorHAnsi" w:cstheme="minorHAnsi"/>
          <w:sz w:val="24"/>
          <w:szCs w:val="24"/>
        </w:rPr>
      </w:pPr>
      <w:r w:rsidRPr="003B26EE">
        <w:rPr>
          <w:rFonts w:asciiTheme="minorHAnsi" w:hAnsiTheme="minorHAnsi" w:cstheme="minorHAnsi"/>
          <w:sz w:val="24"/>
          <w:szCs w:val="24"/>
        </w:rPr>
        <w:t>We shall follow Diocesan guidance on the renewal of applications for DBS checks.</w:t>
      </w:r>
    </w:p>
    <w:p w14:paraId="234F947E" w14:textId="77777777" w:rsidR="001C2088" w:rsidRPr="003B26EE" w:rsidRDefault="00FA6DD5">
      <w:pPr>
        <w:numPr>
          <w:ilvl w:val="0"/>
          <w:numId w:val="1"/>
        </w:numPr>
        <w:ind w:right="11" w:hanging="360"/>
        <w:rPr>
          <w:rFonts w:asciiTheme="minorHAnsi" w:hAnsiTheme="minorHAnsi" w:cstheme="minorHAnsi"/>
          <w:sz w:val="24"/>
          <w:szCs w:val="24"/>
        </w:rPr>
      </w:pPr>
      <w:r w:rsidRPr="003B26EE">
        <w:rPr>
          <w:rFonts w:asciiTheme="minorHAnsi" w:hAnsiTheme="minorHAnsi" w:cstheme="minorHAnsi"/>
          <w:sz w:val="24"/>
          <w:szCs w:val="24"/>
        </w:rPr>
        <w:t>We shall ensure that DBS check information is passed only to those entitled to receive it.</w:t>
      </w:r>
    </w:p>
    <w:p w14:paraId="3F006636" w14:textId="77777777" w:rsidR="001C2088" w:rsidRPr="003B26EE" w:rsidRDefault="00FA6DD5">
      <w:pPr>
        <w:numPr>
          <w:ilvl w:val="0"/>
          <w:numId w:val="1"/>
        </w:numPr>
        <w:spacing w:after="324"/>
        <w:ind w:right="11" w:hanging="360"/>
        <w:rPr>
          <w:rFonts w:asciiTheme="minorHAnsi" w:hAnsiTheme="minorHAnsi" w:cstheme="minorHAnsi"/>
          <w:sz w:val="24"/>
          <w:szCs w:val="24"/>
        </w:rPr>
      </w:pPr>
      <w:r w:rsidRPr="003B26EE">
        <w:rPr>
          <w:rFonts w:asciiTheme="minorHAnsi" w:hAnsiTheme="minorHAnsi" w:cstheme="minorHAnsi"/>
          <w:sz w:val="24"/>
          <w:szCs w:val="24"/>
        </w:rPr>
        <w:t>We are committed to the fair and sensitive use of DBS check information. We shall refer to the Diocese any complaints about the DBS check process or the accuracy of DBS check information so that appropriate action can be taken; this may involve the use of the formal complaint's procedure.</w:t>
      </w:r>
      <w:r w:rsidRPr="003B26EE">
        <w:rPr>
          <w:rFonts w:asciiTheme="minorHAnsi" w:hAnsiTheme="minorHAnsi" w:cstheme="minorHAnsi"/>
          <w:noProof/>
          <w:sz w:val="24"/>
          <w:szCs w:val="24"/>
        </w:rPr>
        <w:drawing>
          <wp:inline distT="0" distB="0" distL="0" distR="0" wp14:anchorId="0B3F5254" wp14:editId="17460E60">
            <wp:extent cx="4573" cy="4573"/>
            <wp:effectExtent l="0" t="0" r="0" b="0"/>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6"/>
                    <a:stretch>
                      <a:fillRect/>
                    </a:stretch>
                  </pic:blipFill>
                  <pic:spPr>
                    <a:xfrm>
                      <a:off x="0" y="0"/>
                      <a:ext cx="4573" cy="4573"/>
                    </a:xfrm>
                    <a:prstGeom prst="rect">
                      <a:avLst/>
                    </a:prstGeom>
                  </pic:spPr>
                </pic:pic>
              </a:graphicData>
            </a:graphic>
          </wp:inline>
        </w:drawing>
      </w:r>
    </w:p>
    <w:p w14:paraId="0D5E078D" w14:textId="77777777" w:rsidR="001C2088" w:rsidRPr="003B26EE" w:rsidRDefault="00FA6DD5">
      <w:pPr>
        <w:spacing w:after="502"/>
        <w:ind w:left="715" w:right="14" w:hanging="370"/>
        <w:jc w:val="left"/>
        <w:rPr>
          <w:rFonts w:asciiTheme="minorHAnsi" w:hAnsiTheme="minorHAnsi" w:cstheme="minorHAnsi"/>
          <w:sz w:val="24"/>
          <w:szCs w:val="24"/>
        </w:rPr>
      </w:pPr>
      <w:r w:rsidRPr="003B26EE">
        <w:rPr>
          <w:rFonts w:asciiTheme="minorHAnsi" w:hAnsiTheme="minorHAnsi" w:cstheme="minorHAnsi"/>
          <w:noProof/>
          <w:sz w:val="24"/>
          <w:szCs w:val="24"/>
        </w:rPr>
        <w:drawing>
          <wp:inline distT="0" distB="0" distL="0" distR="0" wp14:anchorId="75A232A4" wp14:editId="6A7DBF80">
            <wp:extent cx="4574" cy="4574"/>
            <wp:effectExtent l="0" t="0" r="0" b="0"/>
            <wp:docPr id="1996" name="Picture 1996"/>
            <wp:cNvGraphicFramePr/>
            <a:graphic xmlns:a="http://schemas.openxmlformats.org/drawingml/2006/main">
              <a:graphicData uri="http://schemas.openxmlformats.org/drawingml/2006/picture">
                <pic:pic xmlns:pic="http://schemas.openxmlformats.org/drawingml/2006/picture">
                  <pic:nvPicPr>
                    <pic:cNvPr id="1996" name="Picture 1996"/>
                    <pic:cNvPicPr/>
                  </pic:nvPicPr>
                  <pic:blipFill>
                    <a:blip r:embed="rId8"/>
                    <a:stretch>
                      <a:fillRect/>
                    </a:stretch>
                  </pic:blipFill>
                  <pic:spPr>
                    <a:xfrm>
                      <a:off x="0" y="0"/>
                      <a:ext cx="4574" cy="4574"/>
                    </a:xfrm>
                    <a:prstGeom prst="rect">
                      <a:avLst/>
                    </a:prstGeom>
                  </pic:spPr>
                </pic:pic>
              </a:graphicData>
            </a:graphic>
          </wp:inline>
        </w:drawing>
      </w:r>
      <w:r w:rsidRPr="003B26EE">
        <w:rPr>
          <w:rFonts w:asciiTheme="minorHAnsi" w:hAnsiTheme="minorHAnsi" w:cstheme="minorHAnsi"/>
          <w:sz w:val="24"/>
          <w:szCs w:val="24"/>
        </w:rPr>
        <w:t>9. In dealing with all matters relating to Disclosure, we shall comply with the Disclosure and Barring Service's Code of Practice. We shall also comply with Diocesan policies and follow Diocesan procedures and guidance.</w:t>
      </w:r>
    </w:p>
    <w:p w14:paraId="6B546F35" w14:textId="77777777" w:rsidR="001C2088" w:rsidRPr="003B26EE" w:rsidRDefault="00FA6DD5">
      <w:pPr>
        <w:spacing w:after="0" w:line="259" w:lineRule="auto"/>
        <w:ind w:left="713" w:firstLine="0"/>
        <w:jc w:val="left"/>
        <w:rPr>
          <w:rFonts w:asciiTheme="minorHAnsi" w:hAnsiTheme="minorHAnsi" w:cstheme="minorHAnsi"/>
          <w:sz w:val="24"/>
          <w:szCs w:val="24"/>
        </w:rPr>
      </w:pPr>
      <w:r w:rsidRPr="003B26EE">
        <w:rPr>
          <w:rFonts w:asciiTheme="minorHAnsi" w:hAnsiTheme="minorHAnsi" w:cstheme="minorHAnsi"/>
          <w:sz w:val="24"/>
          <w:szCs w:val="24"/>
        </w:rPr>
        <w:t>This policy is adapted from the Diocese of Oxford model policy dated</w:t>
      </w:r>
    </w:p>
    <w:p w14:paraId="213B2CEE" w14:textId="67DCE5E0" w:rsidR="001C2088" w:rsidRPr="003B26EE" w:rsidRDefault="00FA6DD5" w:rsidP="003B26EE">
      <w:pPr>
        <w:spacing w:after="165" w:line="259" w:lineRule="auto"/>
        <w:ind w:left="0" w:right="94" w:firstLine="0"/>
        <w:jc w:val="center"/>
        <w:rPr>
          <w:rFonts w:asciiTheme="minorHAnsi" w:hAnsiTheme="minorHAnsi" w:cstheme="minorHAnsi"/>
          <w:sz w:val="24"/>
          <w:szCs w:val="24"/>
        </w:rPr>
      </w:pPr>
      <w:r w:rsidRPr="003B26EE">
        <w:rPr>
          <w:rFonts w:asciiTheme="minorHAnsi" w:hAnsiTheme="minorHAnsi" w:cstheme="minorHAnsi"/>
          <w:sz w:val="24"/>
          <w:szCs w:val="24"/>
        </w:rPr>
        <w:t xml:space="preserve">September 2014, with the addition of the </w:t>
      </w:r>
      <w:proofErr w:type="spellStart"/>
      <w:r w:rsidRPr="003B26EE">
        <w:rPr>
          <w:rFonts w:asciiTheme="minorHAnsi" w:hAnsiTheme="minorHAnsi" w:cstheme="minorHAnsi"/>
          <w:sz w:val="24"/>
          <w:szCs w:val="24"/>
        </w:rPr>
        <w:t>italised</w:t>
      </w:r>
      <w:proofErr w:type="spellEnd"/>
      <w:r w:rsidRPr="003B26EE">
        <w:rPr>
          <w:rFonts w:asciiTheme="minorHAnsi" w:hAnsiTheme="minorHAnsi" w:cstheme="minorHAnsi"/>
          <w:sz w:val="24"/>
          <w:szCs w:val="24"/>
        </w:rPr>
        <w:t xml:space="preserve"> sentence in para. 1.</w:t>
      </w:r>
    </w:p>
    <w:p w14:paraId="763776DB" w14:textId="415EC6A9" w:rsidR="001C2088" w:rsidRPr="003B26EE" w:rsidRDefault="00FA6DD5">
      <w:pPr>
        <w:spacing w:after="485" w:line="259" w:lineRule="auto"/>
        <w:ind w:left="713" w:firstLine="0"/>
        <w:jc w:val="left"/>
        <w:rPr>
          <w:rFonts w:asciiTheme="minorHAnsi" w:hAnsiTheme="minorHAnsi" w:cstheme="minorHAnsi"/>
          <w:sz w:val="24"/>
          <w:szCs w:val="24"/>
        </w:rPr>
      </w:pPr>
      <w:r w:rsidRPr="003B26EE">
        <w:rPr>
          <w:rFonts w:asciiTheme="minorHAnsi" w:hAnsiTheme="minorHAnsi" w:cstheme="minorHAnsi"/>
          <w:sz w:val="24"/>
          <w:szCs w:val="24"/>
        </w:rPr>
        <w:t xml:space="preserve">Adopted by St. Luke's PCC on </w:t>
      </w:r>
      <w:r w:rsidR="003B26EE">
        <w:rPr>
          <w:rFonts w:asciiTheme="minorHAnsi" w:hAnsiTheme="minorHAnsi" w:cstheme="minorHAnsi"/>
          <w:sz w:val="24"/>
          <w:szCs w:val="24"/>
        </w:rPr>
        <w:t>09</w:t>
      </w:r>
      <w:r w:rsidR="003B26EE" w:rsidRPr="003B26EE">
        <w:rPr>
          <w:rFonts w:asciiTheme="minorHAnsi" w:hAnsiTheme="minorHAnsi" w:cstheme="minorHAnsi"/>
          <w:sz w:val="24"/>
          <w:szCs w:val="24"/>
          <w:vertAlign w:val="superscript"/>
        </w:rPr>
        <w:t>th</w:t>
      </w:r>
      <w:r w:rsidR="003B26EE">
        <w:rPr>
          <w:rFonts w:asciiTheme="minorHAnsi" w:hAnsiTheme="minorHAnsi" w:cstheme="minorHAnsi"/>
          <w:sz w:val="24"/>
          <w:szCs w:val="24"/>
        </w:rPr>
        <w:t xml:space="preserve"> March 2021</w:t>
      </w:r>
    </w:p>
    <w:p w14:paraId="6895475B" w14:textId="77777777" w:rsidR="003B26EE" w:rsidRDefault="003B26EE" w:rsidP="003B26EE">
      <w:pPr>
        <w:spacing w:after="0" w:line="259" w:lineRule="auto"/>
        <w:ind w:left="411" w:firstLine="0"/>
        <w:jc w:val="left"/>
        <w:rPr>
          <w:rFonts w:asciiTheme="minorHAnsi" w:hAnsiTheme="minorHAnsi" w:cstheme="minorHAnsi"/>
          <w:sz w:val="24"/>
          <w:szCs w:val="24"/>
        </w:rPr>
      </w:pPr>
      <w:bookmarkStart w:id="0" w:name="_GoBack"/>
      <w:bookmarkEnd w:id="0"/>
    </w:p>
    <w:p w14:paraId="48D7ABF0" w14:textId="41DF4B0B" w:rsidR="001C2088" w:rsidRPr="003B26EE" w:rsidRDefault="00FA6DD5" w:rsidP="003B26EE">
      <w:pPr>
        <w:spacing w:after="0" w:line="259" w:lineRule="auto"/>
        <w:ind w:left="411" w:firstLine="0"/>
        <w:jc w:val="left"/>
        <w:rPr>
          <w:rFonts w:asciiTheme="minorHAnsi" w:hAnsiTheme="minorHAnsi" w:cstheme="minorHAnsi"/>
          <w:sz w:val="24"/>
          <w:szCs w:val="24"/>
        </w:rPr>
      </w:pPr>
      <w:r w:rsidRPr="003B26EE">
        <w:rPr>
          <w:rFonts w:asciiTheme="minorHAnsi" w:hAnsiTheme="minorHAnsi" w:cstheme="minorHAnsi"/>
          <w:sz w:val="24"/>
          <w:szCs w:val="24"/>
        </w:rPr>
        <w:t>Incumbent</w:t>
      </w:r>
    </w:p>
    <w:sectPr w:rsidR="001C2088" w:rsidRPr="003B26EE" w:rsidSect="003B26EE">
      <w:pgSz w:w="11920" w:h="16840"/>
      <w:pgMar w:top="567" w:right="1909" w:bottom="1440" w:left="16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C341E"/>
    <w:multiLevelType w:val="hybridMultilevel"/>
    <w:tmpl w:val="350EAC76"/>
    <w:lvl w:ilvl="0" w:tplc="D1BCD1BC">
      <w:start w:val="1"/>
      <w:numFmt w:val="decimal"/>
      <w:lvlText w:val="%1."/>
      <w:lvlJc w:val="left"/>
      <w:pPr>
        <w:ind w:left="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504554">
      <w:start w:val="1"/>
      <w:numFmt w:val="lowerLetter"/>
      <w:lvlText w:val="%2"/>
      <w:lvlJc w:val="left"/>
      <w:pPr>
        <w:ind w:left="1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C5C78B0">
      <w:start w:val="1"/>
      <w:numFmt w:val="lowerRoman"/>
      <w:lvlText w:val="%3"/>
      <w:lvlJc w:val="left"/>
      <w:pPr>
        <w:ind w:left="2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F800E0">
      <w:start w:val="1"/>
      <w:numFmt w:val="decimal"/>
      <w:lvlText w:val="%4"/>
      <w:lvlJc w:val="left"/>
      <w:pPr>
        <w:ind w:left="2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34290E">
      <w:start w:val="1"/>
      <w:numFmt w:val="lowerLetter"/>
      <w:lvlText w:val="%5"/>
      <w:lvlJc w:val="left"/>
      <w:pPr>
        <w:ind w:left="3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BC9408">
      <w:start w:val="1"/>
      <w:numFmt w:val="lowerRoman"/>
      <w:lvlText w:val="%6"/>
      <w:lvlJc w:val="left"/>
      <w:pPr>
        <w:ind w:left="4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D86590">
      <w:start w:val="1"/>
      <w:numFmt w:val="decimal"/>
      <w:lvlText w:val="%7"/>
      <w:lvlJc w:val="left"/>
      <w:pPr>
        <w:ind w:left="5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E8CBA4">
      <w:start w:val="1"/>
      <w:numFmt w:val="lowerLetter"/>
      <w:lvlText w:val="%8"/>
      <w:lvlJc w:val="left"/>
      <w:pPr>
        <w:ind w:left="5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8C264A">
      <w:start w:val="1"/>
      <w:numFmt w:val="lowerRoman"/>
      <w:lvlText w:val="%9"/>
      <w:lvlJc w:val="left"/>
      <w:pPr>
        <w:ind w:left="6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88"/>
    <w:rsid w:val="00092AB0"/>
    <w:rsid w:val="001C2088"/>
    <w:rsid w:val="003B26EE"/>
    <w:rsid w:val="009E4F6A"/>
    <w:rsid w:val="00ED4268"/>
    <w:rsid w:val="00FA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3" w:line="216" w:lineRule="auto"/>
      <w:ind w:left="363" w:hanging="363"/>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68"/>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3" w:line="216" w:lineRule="auto"/>
      <w:ind w:left="363" w:hanging="363"/>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6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Hinchliffe</dc:creator>
  <cp:lastModifiedBy>St Luke's Parish Administrator</cp:lastModifiedBy>
  <cp:revision>3</cp:revision>
  <cp:lastPrinted>2021-03-12T13:51:00Z</cp:lastPrinted>
  <dcterms:created xsi:type="dcterms:W3CDTF">2021-03-12T13:51:00Z</dcterms:created>
  <dcterms:modified xsi:type="dcterms:W3CDTF">2021-03-12T13:51:00Z</dcterms:modified>
</cp:coreProperties>
</file>